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Shownotes: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i w:val="1"/>
          <w:rtl w:val="0"/>
        </w:rPr>
        <w:t xml:space="preserve">The Ship, Museum of Chinese in America: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https://www.mocanyc.org/wp-content/uploads/2021/01/91781427-48778380-ebc8-11ea-960d-0308b900bf18-scaled-1800x1217.jpg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Sources for One-Child Policy &amp; Tiananmen Square Massacre:</w:t>
      </w:r>
    </w:p>
    <w:p w:rsidR="00000000" w:rsidDel="00000000" w:rsidP="00000000" w:rsidRDefault="00000000" w:rsidRPr="00000000" w14:paraId="00000005">
      <w:pPr>
        <w:spacing w:line="48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Intraprovincial Disparities in China: Fujian Province, 1978-1995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China in 1990: The Year of Damage Control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China in 1991: Living Cautiously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 TIANANMEN MOVEMENT and its Aftermath - jstor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Chronology of Events Related to the 1989 Tiananmen Square Incident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Britannica One-Child 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BBC Report on Tiananmen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Sources for Journey to United States: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York Bar Association Scanned Documents (no links)</w:t>
      </w:r>
    </w:p>
    <w:p w:rsidR="00000000" w:rsidDel="00000000" w:rsidP="00000000" w:rsidRDefault="00000000" w:rsidRPr="00000000" w14:paraId="0000000F">
      <w:pPr>
        <w:spacing w:line="480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Richmond Times Jan 1997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Sources for the Snakeheads:</w:t>
      </w:r>
    </w:p>
    <w:p w:rsidR="00000000" w:rsidDel="00000000" w:rsidP="00000000" w:rsidRDefault="00000000" w:rsidRPr="00000000" w14:paraId="00000012">
      <w:pPr>
        <w:spacing w:line="480" w:lineRule="auto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Oct. 2, 1998 news article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Dec. 27, 1996 Even in freedom there is fear for many Chinese immigrants news article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The Snakehead: An Epic Tale of the Chinatown Underworld and the American Dream</w:t>
      </w:r>
      <w:r w:rsidDel="00000000" w:rsidR="00000000" w:rsidRPr="00000000">
        <w:rPr>
          <w:color w:val="222222"/>
          <w:highlight w:val="white"/>
          <w:rtl w:val="0"/>
        </w:rPr>
        <w:t xml:space="preserve"> by Patrick Radden Keefe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Chinese Organized Crime and Illegal Alien Trafficking: Humans as a Commodity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Snakeheads and Smuggling: The Dynamics of Illegal Chinese Immigration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stor.org/stable/20672217" TargetMode="External"/><Relationship Id="rId10" Type="http://schemas.openxmlformats.org/officeDocument/2006/relationships/hyperlink" Target="https://www.jstor.org/stable/44898313" TargetMode="External"/><Relationship Id="rId13" Type="http://schemas.openxmlformats.org/officeDocument/2006/relationships/hyperlink" Target="https://www.youtube.com/watch?v=S3RzKKfNkTk" TargetMode="External"/><Relationship Id="rId12" Type="http://schemas.openxmlformats.org/officeDocument/2006/relationships/hyperlink" Target="https://www.britannica.com/topic/one-child-polic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stor.org/stable/2645195" TargetMode="External"/><Relationship Id="rId15" Type="http://schemas.openxmlformats.org/officeDocument/2006/relationships/hyperlink" Target="https://www.newspapers.com/image/555089288/?terms=%22golden%20venture%22&amp;match=1" TargetMode="External"/><Relationship Id="rId14" Type="http://schemas.openxmlformats.org/officeDocument/2006/relationships/hyperlink" Target="https://www.newspapers.com/image/832952083/" TargetMode="External"/><Relationship Id="rId17" Type="http://schemas.openxmlformats.org/officeDocument/2006/relationships/hyperlink" Target="https://go.exlibris.link/3YDdwD8J" TargetMode="External"/><Relationship Id="rId16" Type="http://schemas.openxmlformats.org/officeDocument/2006/relationships/hyperlink" Target="https://www.newspapers.com/image/554191769/?match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ocanyc.org/wp-content/uploads/2021/01/91781427-48778380-ebc8-11ea-960d-0308b900bf18-scaled-1800x1217.jpg" TargetMode="External"/><Relationship Id="rId18" Type="http://schemas.openxmlformats.org/officeDocument/2006/relationships/hyperlink" Target="https://go.exlibris.link/F9ff10B9" TargetMode="External"/><Relationship Id="rId7" Type="http://schemas.openxmlformats.org/officeDocument/2006/relationships/hyperlink" Target="https://www.jstor.org/stable/144332" TargetMode="External"/><Relationship Id="rId8" Type="http://schemas.openxmlformats.org/officeDocument/2006/relationships/hyperlink" Target="https://www.jstor.org/stable/2645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